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rFonts w:ascii="Georgia" w:hAnsi="Georgia"/>
          <w:b/>
          <w:color w:val="D4A830"/>
          <w:sz w:val="18"/>
          <w:spacing w:val="50"/>
        </w:rPr>
        <w:t>STRATEGIC PLANNING RETREAT  ·  JUNE 2, 2026</w:t>
      </w:r>
    </w:p>
    <w:p>
      <w:pPr>
        <w:spacing w:after="40"/>
      </w:pPr>
      <w:r>
        <w:rPr>
          <w:rFonts w:ascii="Georgia" w:hAnsi="Georgia"/>
          <w:color w:val="062A3E"/>
          <w:sz w:val="52"/>
        </w:rPr>
        <w:t>Session Report</w:t>
      </w:r>
    </w:p>
    <w:p>
      <w:pPr>
        <w:spacing w:after="60"/>
      </w:pPr>
      <w:r>
        <w:rPr>
          <w:rFonts w:ascii="Georgia" w:hAnsi="Georgia"/>
          <w:color w:val="4A4A4A"/>
          <w:sz w:val="24"/>
        </w:rPr>
        <w:t>The Senior Source  ·  “See &amp; Be Seen” 2026–2029</w:t>
      </w:r>
    </w:p>
    <w:p>
      <w:pPr>
        <w:spacing w:after="160"/>
      </w:pPr>
      <w:r>
        <w:rPr>
          <w:rFonts w:ascii="Georgia" w:hAnsi="Georgia"/>
          <w:i/>
          <w:color w:val="4A4A4A"/>
          <w:sz w:val="20"/>
        </w:rPr>
        <w:t>Facilitated by Renita Smith, Leap Forward Coaching &amp; Consulting  ·  Prepared for the TSS Program Directors</w:t>
      </w:r>
    </w:p>
    <w:p>
      <w:pPr>
        <w:spacing w:after="40"/>
        <w:pBdr>
          <w:bottom w:val="single" w:sz="12" w:space="1" w:color="1DBFAA"/>
        </w:pBdr>
      </w:pPr>
    </w:p>
    <w:p>
      <w:pPr>
        <w:spacing w:before="360" w:after="40"/>
      </w:pPr>
      <w:r>
        <w:rPr>
          <w:rFonts w:ascii="Georgia" w:hAnsi="Georgia"/>
          <w:b/>
          <w:color w:val="D4A830"/>
          <w:sz w:val="16"/>
          <w:spacing w:val="40"/>
        </w:rPr>
        <w:t>THE BIG PICTURE</w:t>
      </w:r>
    </w:p>
    <w:p>
      <w:pPr>
        <w:spacing w:after="120"/>
      </w:pPr>
      <w:r>
        <w:rPr>
          <w:rFonts w:ascii="Georgia" w:hAnsi="Georgia"/>
          <w:color w:val="062A3E"/>
          <w:sz w:val="34"/>
        </w:rPr>
        <w:t>Executive Summary</w:t>
      </w:r>
    </w:p>
    <w:p>
      <w:r>
        <w:rPr>
          <w:rFonts w:ascii="Georgia" w:hAnsi="Georgia"/>
          <w:color w:val="4A4A4A"/>
        </w:rPr>
        <w:t>On June 2, the leadership team came together to turn the 2026–2029 “See &amp; Be Seen” strategic plan into something the organization can actually run — shared definitions, a year-by-year sequence, complexity ratings, and clear ownership. The day delivered that. Its more lasting value, though, was an honest, shared look at how this team operates when the work gets ambiguous.</w:t>
      </w:r>
    </w:p>
    <w:p>
      <w:r>
        <w:rPr>
          <w:rFonts w:ascii="Georgia" w:hAnsi="Georgia"/>
          <w:color w:val="4A4A4A"/>
        </w:rPr>
        <w:t xml:space="preserve">One principle anchored the day: </w:t>
      </w:r>
      <w:r>
        <w:rPr>
          <w:rFonts w:ascii="Georgia" w:hAnsi="Georgia"/>
          <w:b/>
          <w:color w:val="062A3E"/>
        </w:rPr>
        <w:t>a plan is only as good as the culture executing it.</w:t>
      </w:r>
      <w:r>
        <w:rPr>
          <w:rFonts w:ascii="Georgia" w:hAnsi="Georgia"/>
          <w:color w:val="4A4A4A"/>
        </w:rPr>
        <w:t xml:space="preserve"> A well-built plan that meets a siloed, permission-bound culture simply stalls. So alongside the planning, we surfaced the team’s operating patterns — where they will carry this plan, and where they will quietly undermine it. Rather than skim all five priorities, we worked one priority in full as a model and mapped the timing of the rest.</w:t>
      </w:r>
    </w:p>
    <w:p>
      <w:pPr>
        <w:spacing w:after="60"/>
      </w:pPr>
      <w:r>
        <w:rPr>
          <w:rFonts w:ascii="Georgia" w:hAnsi="Georgia"/>
          <w:b/>
          <w:color w:val="062A3E"/>
          <w:sz w:val="21"/>
        </w:rPr>
        <w:t>The day produced:</w:t>
      </w:r>
    </w:p>
    <w:p>
      <w:pPr>
        <w:pStyle w:val="ListBullet"/>
        <w:spacing w:after="80"/>
      </w:pPr>
      <w:r>
        <w:rPr>
          <w:rFonts w:ascii="Georgia" w:hAnsi="Georgia"/>
          <w:color w:val="4A4A4A"/>
        </w:rPr>
        <w:t>A fully worked priority — the aging-preparedness toolkit — that models the planning method for the other four.</w:t>
      </w:r>
    </w:p>
    <w:p>
      <w:pPr>
        <w:pStyle w:val="ListBullet"/>
        <w:spacing w:after="80"/>
      </w:pPr>
      <w:r>
        <w:rPr>
          <w:rFonts w:ascii="Georgia" w:hAnsi="Georgia"/>
          <w:color w:val="4A4A4A"/>
        </w:rPr>
        <w:t>A Year 1 / Year 2 / Year 3 timing map across all five priorities.</w:t>
      </w:r>
    </w:p>
    <w:p>
      <w:pPr>
        <w:pStyle w:val="ListBullet"/>
        <w:spacing w:after="80"/>
      </w:pPr>
      <w:r>
        <w:rPr>
          <w:rFonts w:ascii="Georgia" w:hAnsi="Georgia"/>
          <w:color w:val="4A4A4A"/>
        </w:rPr>
        <w:t>A clear-eyed read on the team’s operating culture, named by the team itself.</w:t>
      </w:r>
    </w:p>
    <w:p>
      <w:pPr>
        <w:pStyle w:val="ListBullet"/>
        <w:spacing w:after="80"/>
      </w:pPr>
      <w:r>
        <w:rPr>
          <w:rFonts w:ascii="Georgia" w:hAnsi="Georgia"/>
          <w:color w:val="4A4A4A"/>
        </w:rPr>
        <w:t>A short set of operating principles to keep the plan alive between meetings.</w:t>
      </w:r>
    </w:p>
    <w:p>
      <w:pPr>
        <w:pStyle w:val="ListBullet"/>
        <w:spacing w:after="80"/>
      </w:pPr>
      <w:r>
        <w:rPr>
          <w:rFonts w:ascii="Georgia" w:hAnsi="Georgia"/>
          <w:color w:val="4A4A4A"/>
        </w:rPr>
        <w:t>Defined next steps and per-department homework.</w:t>
      </w:r>
    </w:p>
    <w:p>
      <w:pPr>
        <w:spacing w:before="360" w:after="40"/>
      </w:pPr>
      <w:r>
        <w:rPr>
          <w:rFonts w:ascii="Georgia" w:hAnsi="Georgia"/>
          <w:b/>
          <w:color w:val="3C3D96"/>
          <w:sz w:val="16"/>
          <w:spacing w:val="40"/>
        </w:rPr>
        <w:t>THE MIRROR</w:t>
      </w:r>
    </w:p>
    <w:p>
      <w:pPr>
        <w:spacing w:after="120"/>
      </w:pPr>
      <w:r>
        <w:rPr>
          <w:rFonts w:ascii="Georgia" w:hAnsi="Georgia"/>
          <w:color w:val="062A3E"/>
          <w:sz w:val="34"/>
        </w:rPr>
        <w:t>What the Experiment Revealed</w:t>
      </w:r>
    </w:p>
    <w:p>
      <w:r>
        <w:rPr>
          <w:rFonts w:ascii="Georgia" w:hAnsi="Georgia"/>
          <w:color w:val="4A4A4A"/>
        </w:rPr>
        <w:t>A structured puzzle exercise — strategists, executors, and observers working from deliberately ambiguous instructions — gave the team a mirror. The debrief surfaced patterns that show up well beyond the exercise:</w:t>
      </w:r>
    </w:p>
    <w:p>
      <w:pPr>
        <w:pStyle w:val="ListBullet"/>
        <w:spacing w:after="80"/>
      </w:pPr>
      <w:r>
        <w:rPr>
          <w:rFonts w:ascii="Georgia" w:hAnsi="Georgia"/>
          <w:b/>
          <w:color w:val="062A3E"/>
        </w:rPr>
        <w:t>An ask-and-approve culture.</w:t>
      </w:r>
      <w:r>
        <w:rPr>
          <w:rFonts w:ascii="Georgia" w:hAnsi="Georgia"/>
          <w:color w:val="4A4A4A"/>
        </w:rPr>
        <w:t xml:space="preserve"> The team often waits for permission that was never actually required — a pattern the group named directly as part of its leadership culture. The healthy counter-truth surfaced too: permission is granted when asked, so the habit to build is the asking.</w:t>
      </w:r>
    </w:p>
    <w:p>
      <w:pPr>
        <w:pStyle w:val="ListBullet"/>
        <w:spacing w:after="80"/>
      </w:pPr>
      <w:r>
        <w:rPr>
          <w:rFonts w:ascii="Georgia" w:hAnsi="Georgia"/>
          <w:b/>
          <w:color w:val="062A3E"/>
        </w:rPr>
        <w:t>Siloed work.</w:t>
      </w:r>
      <w:r>
        <w:rPr>
          <w:rFonts w:ascii="Georgia" w:hAnsi="Georgia"/>
          <w:color w:val="4A4A4A"/>
        </w:rPr>
        <w:t xml:space="preserve"> The group instinctively treated itself as separate teams when nothing required that. The plan’s cross-collaboration will mean deliberately working across lanes.</w:t>
      </w:r>
    </w:p>
    <w:p>
      <w:pPr>
        <w:pStyle w:val="ListBullet"/>
        <w:spacing w:after="80"/>
      </w:pPr>
      <w:r>
        <w:rPr>
          <w:rFonts w:ascii="Georgia" w:hAnsi="Georgia"/>
          <w:b/>
          <w:color w:val="062A3E"/>
        </w:rPr>
        <w:t>Communication gaps.</w:t>
      </w:r>
      <w:r>
        <w:rPr>
          <w:rFonts w:ascii="Georgia" w:hAnsi="Georgia"/>
          <w:color w:val="4A4A4A"/>
        </w:rPr>
        <w:t xml:space="preserve"> What gets said, what gets meant, and what gets heard diverge — and course-correction often waits until it is too late to help.</w:t>
      </w:r>
    </w:p>
    <w:p>
      <w:pPr>
        <w:pStyle w:val="ListBullet"/>
        <w:spacing w:after="80"/>
      </w:pPr>
      <w:r>
        <w:rPr>
          <w:rFonts w:ascii="Georgia" w:hAnsi="Georgia"/>
          <w:b/>
          <w:color w:val="062A3E"/>
        </w:rPr>
        <w:t>Unstated hierarchy.</w:t>
      </w:r>
      <w:r>
        <w:rPr>
          <w:rFonts w:ascii="Georgia" w:hAnsi="Georgia"/>
          <w:color w:val="4A4A4A"/>
        </w:rPr>
        <w:t xml:space="preserve"> Roles were assumed to carry a rank that was never assigned, which quietly shapes who speaks up and who waits.</w:t>
      </w:r>
    </w:p>
    <w:p>
      <w:pPr>
        <w:pStyle w:val="ListBullet"/>
        <w:spacing w:after="80"/>
      </w:pPr>
      <w:r>
        <w:rPr>
          <w:rFonts w:ascii="Georgia" w:hAnsi="Georgia"/>
          <w:b/>
          <w:color w:val="062A3E"/>
        </w:rPr>
        <w:t>Self-imposed constraints.</w:t>
      </w:r>
      <w:r>
        <w:rPr>
          <w:rFonts w:ascii="Georgia" w:hAnsi="Georgia"/>
          <w:color w:val="4A4A4A"/>
        </w:rPr>
        <w:t xml:space="preserve"> Most of the “rules” limiting the team were assumptions, not actual rules. There is real room to operate that the team has not been claiming.</w:t>
      </w:r>
    </w:p>
    <w:p>
      <w:r>
        <w:rPr>
          <w:rFonts w:ascii="Georgia" w:hAnsi="Georgia"/>
          <w:color w:val="4A4A4A"/>
        </w:rPr>
        <w:t>These patterns are common across leadership teams and entirely workable. Their value is that they are now named — in the team’s own words — and can be worked on directly.</w:t>
      </w:r>
    </w:p>
    <w:p>
      <w:pPr>
        <w:spacing w:before="360" w:after="40"/>
      </w:pPr>
      <w:r>
        <w:rPr>
          <w:rFonts w:ascii="Georgia" w:hAnsi="Georgia"/>
          <w:b/>
          <w:color w:val="1A808E"/>
          <w:sz w:val="16"/>
          <w:spacing w:val="40"/>
        </w:rPr>
        <w:t>OPERATING PRINCIPLES</w:t>
      </w:r>
    </w:p>
    <w:p>
      <w:pPr>
        <w:spacing w:after="120"/>
      </w:pPr>
      <w:r>
        <w:rPr>
          <w:rFonts w:ascii="Georgia" w:hAnsi="Georgia"/>
          <w:color w:val="062A3E"/>
          <w:sz w:val="34"/>
        </w:rPr>
        <w:t>The Principles That Carry the Plan</w:t>
      </w:r>
    </w:p>
    <w:p>
      <w:r>
        <w:rPr>
          <w:rFonts w:ascii="Georgia" w:hAnsi="Georgia"/>
          <w:color w:val="4A4A4A"/>
        </w:rPr>
        <w:t>A handful of mindset reminders, framed as the operating principles that determine whether this plan survives a busy week:</w:t>
      </w:r>
    </w:p>
    <w:p>
      <w:pPr>
        <w:pStyle w:val="ListBullet"/>
        <w:spacing w:after="80"/>
      </w:pPr>
      <w:r>
        <w:rPr>
          <w:rFonts w:ascii="Georgia" w:hAnsi="Georgia"/>
          <w:b/>
          <w:color w:val="062A3E"/>
        </w:rPr>
        <w:t>Start with what’s possible.</w:t>
      </w:r>
      <w:r>
        <w:rPr>
          <w:rFonts w:ascii="Georgia" w:hAnsi="Georgia"/>
          <w:color w:val="4A4A4A"/>
        </w:rPr>
        <w:t xml:space="preserve"> Lead with “what could we do” before “what can’t we” — possibility first, constraints second.</w:t>
      </w:r>
    </w:p>
    <w:p>
      <w:pPr>
        <w:pStyle w:val="ListBullet"/>
        <w:spacing w:after="80"/>
      </w:pPr>
      <w:r>
        <w:rPr>
          <w:rFonts w:ascii="Georgia" w:hAnsi="Georgia"/>
          <w:b/>
          <w:color w:val="062A3E"/>
        </w:rPr>
        <w:t>Year 1 is a planning year.</w:t>
      </w:r>
      <w:r>
        <w:rPr>
          <w:rFonts w:ascii="Georgia" w:hAnsi="Georgia"/>
          <w:color w:val="4A4A4A"/>
        </w:rPr>
        <w:t xml:space="preserve"> The Year-1 deliverable is a plan, not a launched product. Resist the pull to over-deliver early; that is where overwhelm begins. Add to the workload only when there is genuine extra capacity.</w:t>
      </w:r>
    </w:p>
    <w:p>
      <w:pPr>
        <w:pStyle w:val="ListBullet"/>
        <w:spacing w:after="80"/>
      </w:pPr>
      <w:r>
        <w:rPr>
          <w:rFonts w:ascii="Georgia" w:hAnsi="Georgia"/>
          <w:b/>
          <w:color w:val="062A3E"/>
        </w:rPr>
        <w:t>Build experimentation into the plan.</w:t>
      </w:r>
      <w:r>
        <w:rPr>
          <w:rFonts w:ascii="Georgia" w:hAnsi="Georgia"/>
          <w:color w:val="4A4A4A"/>
        </w:rPr>
        <w:t xml:space="preserve"> Expect iteration and some failure, and plan for it rather than assuming a perfect first attempt. Change the process freely while protecting the deliverable.</w:t>
      </w:r>
    </w:p>
    <w:p>
      <w:pPr>
        <w:pStyle w:val="ListBullet"/>
        <w:spacing w:after="80"/>
      </w:pPr>
      <w:r>
        <w:rPr>
          <w:rFonts w:ascii="Georgia" w:hAnsi="Georgia"/>
          <w:b/>
          <w:color w:val="062A3E"/>
        </w:rPr>
        <w:t>Work in small pieces.</w:t>
      </w:r>
      <w:r>
        <w:rPr>
          <w:rFonts w:ascii="Georgia" w:hAnsi="Georgia"/>
          <w:color w:val="4A4A4A"/>
        </w:rPr>
        <w:t xml:space="preserve"> Build in increments, learn, and adjust — rather than attempting everything at once.</w:t>
      </w:r>
    </w:p>
    <w:p>
      <w:pPr>
        <w:pStyle w:val="ListBullet"/>
        <w:spacing w:after="80"/>
      </w:pPr>
      <w:r>
        <w:rPr>
          <w:rFonts w:ascii="Georgia" w:hAnsi="Georgia"/>
          <w:b/>
          <w:color w:val="062A3E"/>
        </w:rPr>
        <w:t>Ask for what you need.</w:t>
      </w:r>
      <w:r>
        <w:rPr>
          <w:rFonts w:ascii="Georgia" w:hAnsi="Georgia"/>
          <w:color w:val="4A4A4A"/>
        </w:rPr>
        <w:t xml:space="preserve"> Replace “I hope” and “I wonder” with direct requests — for a seat at the table, for clarity, for help. This is the team’s central new habit.</w:t>
      </w:r>
    </w:p>
    <w:p>
      <w:pPr>
        <w:spacing w:before="360" w:after="40"/>
      </w:pPr>
      <w:r>
        <w:rPr>
          <w:rFonts w:ascii="Georgia" w:hAnsi="Georgia"/>
          <w:b/>
          <w:color w:val="1A5FA0"/>
          <w:sz w:val="16"/>
          <w:spacing w:val="40"/>
        </w:rPr>
        <w:t>OUTCOMES</w:t>
      </w:r>
    </w:p>
    <w:p>
      <w:pPr>
        <w:spacing w:after="120"/>
      </w:pPr>
      <w:r>
        <w:rPr>
          <w:rFonts w:ascii="Georgia" w:hAnsi="Georgia"/>
          <w:color w:val="062A3E"/>
          <w:sz w:val="34"/>
        </w:rPr>
        <w:t>What We Accomplished</w:t>
      </w:r>
    </w:p>
    <w:p>
      <w:pPr>
        <w:pStyle w:val="ListBullet"/>
        <w:spacing w:after="80"/>
      </w:pPr>
      <w:r>
        <w:rPr>
          <w:rFonts w:ascii="Georgia" w:hAnsi="Georgia"/>
          <w:b/>
          <w:color w:val="062A3E"/>
        </w:rPr>
        <w:t>Worked the toolkit (Tactic 3.2A) in full</w:t>
      </w:r>
      <w:r>
        <w:rPr>
          <w:rFonts w:ascii="Georgia" w:hAnsi="Georgia"/>
          <w:color w:val="4A4A4A"/>
        </w:rPr>
        <w:t xml:space="preserve"> — scope, tactics, metrics, risks, complexity, and ownership — giving the team a method it can now apply to the remaining priorities.</w:t>
      </w:r>
    </w:p>
    <w:p>
      <w:pPr>
        <w:pStyle w:val="ListBullet"/>
        <w:spacing w:after="80"/>
      </w:pPr>
      <w:r>
        <w:rPr>
          <w:rFonts w:ascii="Georgia" w:hAnsi="Georgia"/>
          <w:b/>
          <w:color w:val="062A3E"/>
        </w:rPr>
        <w:t>Surfaced the “served vs. educated” definitional work,</w:t>
      </w:r>
      <w:r>
        <w:rPr>
          <w:rFonts w:ascii="Georgia" w:hAnsi="Georgia"/>
          <w:color w:val="4A4A4A"/>
        </w:rPr>
        <w:t xml:space="preserve"> reaching a working answer for the toolkit and confirming the definitions need to be aligned agency-wide. This is now per-department homework.</w:t>
      </w:r>
    </w:p>
    <w:p>
      <w:pPr>
        <w:pStyle w:val="ListBullet"/>
        <w:spacing w:after="80"/>
      </w:pPr>
      <w:r>
        <w:rPr>
          <w:rFonts w:ascii="Georgia" w:hAnsi="Georgia"/>
          <w:b/>
          <w:color w:val="062A3E"/>
        </w:rPr>
        <w:t>Mapped every priority to a Year 1 / Year 2 / Year 3 start</w:t>
      </w:r>
      <w:r>
        <w:rPr>
          <w:rFonts w:ascii="Georgia" w:hAnsi="Georgia"/>
          <w:color w:val="4A4A4A"/>
        </w:rPr>
        <w:t xml:space="preserve"> in a lightning round, with Year 1 defaulting to planning and discovery.</w:t>
      </w:r>
    </w:p>
    <w:p>
      <w:r>
        <w:rPr>
          <w:rFonts w:ascii="Georgia" w:hAnsi="Georgia"/>
          <w:color w:val="4A4A4A"/>
        </w:rPr>
        <w:t xml:space="preserve">Detailed content lives in the companion documents: the </w:t>
      </w:r>
      <w:r>
        <w:rPr>
          <w:rFonts w:ascii="Georgia" w:hAnsi="Georgia"/>
          <w:b/>
          <w:color w:val="062A3E"/>
        </w:rPr>
        <w:t>Project Plan</w:t>
      </w:r>
      <w:r>
        <w:rPr>
          <w:rFonts w:ascii="Georgia" w:hAnsi="Georgia"/>
          <w:color w:val="4A4A4A"/>
        </w:rPr>
        <w:t xml:space="preserve"> (tactic tables, owners, timing), the </w:t>
      </w:r>
      <w:r>
        <w:rPr>
          <w:rFonts w:ascii="Georgia" w:hAnsi="Georgia"/>
          <w:b/>
          <w:color w:val="062A3E"/>
        </w:rPr>
        <w:t>Toolkit Five-Question Treatment</w:t>
      </w:r>
      <w:r>
        <w:rPr>
          <w:rFonts w:ascii="Georgia" w:hAnsi="Georgia"/>
          <w:color w:val="4A4A4A"/>
        </w:rPr>
        <w:t xml:space="preserve"> (the full worked example), and the </w:t>
      </w:r>
      <w:r>
        <w:rPr>
          <w:rFonts w:ascii="Georgia" w:hAnsi="Georgia"/>
          <w:b/>
          <w:color w:val="062A3E"/>
        </w:rPr>
        <w:t>Toolkit Topics</w:t>
      </w:r>
      <w:r>
        <w:rPr>
          <w:rFonts w:ascii="Georgia" w:hAnsi="Georgia"/>
          <w:color w:val="4A4A4A"/>
        </w:rPr>
        <w:t xml:space="preserve"> spreadsheet (each department’s content contributions).</w:t>
      </w:r>
    </w:p>
    <w:p>
      <w:pPr>
        <w:spacing w:before="360" w:after="40"/>
      </w:pPr>
      <w:r>
        <w:rPr>
          <w:rFonts w:ascii="Georgia" w:hAnsi="Georgia"/>
          <w:b/>
          <w:color w:val="D4A830"/>
          <w:sz w:val="16"/>
          <w:spacing w:val="40"/>
        </w:rPr>
        <w:t>CULTURE &amp; CADENCE</w:t>
      </w:r>
    </w:p>
    <w:p>
      <w:pPr>
        <w:spacing w:after="120"/>
      </w:pPr>
      <w:r>
        <w:rPr>
          <w:rFonts w:ascii="Georgia" w:hAnsi="Georgia"/>
          <w:color w:val="062A3E"/>
          <w:sz w:val="34"/>
        </w:rPr>
        <w:t>Ways of Working Forward</w:t>
      </w:r>
    </w:p>
    <w:p>
      <w:r>
        <w:rPr>
          <w:rFonts w:ascii="Georgia" w:hAnsi="Georgia"/>
          <w:color w:val="4A4A4A"/>
        </w:rPr>
        <w:t>The patterns point to a clear path:</w:t>
      </w:r>
    </w:p>
    <w:p>
      <w:pPr>
        <w:pStyle w:val="ListBullet"/>
        <w:spacing w:after="80"/>
      </w:pPr>
      <w:r>
        <w:rPr>
          <w:rFonts w:ascii="Georgia" w:hAnsi="Georgia"/>
          <w:b/>
          <w:color w:val="062A3E"/>
        </w:rPr>
        <w:t>Make the plan a shared conversation.</w:t>
      </w:r>
      <w:r>
        <w:rPr>
          <w:rFonts w:ascii="Georgia" w:hAnsi="Georgia"/>
          <w:color w:val="4A4A4A"/>
        </w:rPr>
        <w:t xml:space="preserve"> Repurpose the monthly PLT meeting into a plan-focused, cross-collaboration meeting so the whole team hears the same information at the same time — replacing the side-hall version of events.</w:t>
      </w:r>
    </w:p>
    <w:p>
      <w:pPr>
        <w:pStyle w:val="ListBullet"/>
        <w:spacing w:after="80"/>
      </w:pPr>
      <w:r>
        <w:rPr>
          <w:rFonts w:ascii="Georgia" w:hAnsi="Georgia"/>
          <w:b/>
          <w:color w:val="062A3E"/>
        </w:rPr>
        <w:t>Increase the cadence.</w:t>
      </w:r>
      <w:r>
        <w:rPr>
          <w:rFonts w:ascii="Georgia" w:hAnsi="Georgia"/>
          <w:color w:val="4A4A4A"/>
        </w:rPr>
        <w:t xml:space="preserve"> Quarterly check-ins are too infrequent for this much cross-collaboration. Pair a regular touchpoint with a real-time channel (e.g., Teams) for time-sensitive “white-flag” moments.</w:t>
      </w:r>
    </w:p>
    <w:p>
      <w:pPr>
        <w:pStyle w:val="ListBullet"/>
        <w:spacing w:after="80"/>
      </w:pPr>
      <w:r>
        <w:rPr>
          <w:rFonts w:ascii="Georgia" w:hAnsi="Georgia"/>
          <w:b/>
          <w:color w:val="062A3E"/>
        </w:rPr>
        <w:t>Treat this as a full-team effort.</w:t>
      </w:r>
      <w:r>
        <w:rPr>
          <w:rFonts w:ascii="Georgia" w:hAnsi="Georgia"/>
          <w:color w:val="4A4A4A"/>
        </w:rPr>
        <w:t xml:space="preserve"> The plan depends on cross-collaboration, so the siloed-lane habit is now the primary execution risk. SLT will confirm the exact cadence and tracking approach.</w:t>
      </w:r>
    </w:p>
    <w:p>
      <w:pPr>
        <w:spacing w:before="360" w:after="40"/>
      </w:pPr>
      <w:r>
        <w:rPr>
          <w:rFonts w:ascii="Georgia" w:hAnsi="Georgia"/>
          <w:b/>
          <w:color w:val="3C3D96"/>
          <w:sz w:val="16"/>
          <w:spacing w:val="40"/>
        </w:rPr>
        <w:t>NEXT STEPS</w:t>
      </w:r>
    </w:p>
    <w:p>
      <w:pPr>
        <w:spacing w:after="120"/>
      </w:pPr>
      <w:r>
        <w:rPr>
          <w:rFonts w:ascii="Georgia" w:hAnsi="Georgia"/>
          <w:color w:val="062A3E"/>
          <w:sz w:val="34"/>
        </w:rPr>
        <w:t>What’s Next</w:t>
      </w:r>
    </w:p>
    <w:p>
      <w:r>
        <w:rPr>
          <w:rFonts w:ascii="Georgia" w:hAnsi="Georgia"/>
          <w:color w:val="4A4A4A"/>
        </w:rPr>
        <w:t>The immediate focus is to keep the plan in active conversation and to sharpen the detail underneath each priority:</w:t>
      </w:r>
    </w:p>
    <w:p>
      <w:pPr>
        <w:pStyle w:val="ListBullet"/>
        <w:spacing w:after="80"/>
      </w:pPr>
      <w:r>
        <w:rPr>
          <w:rFonts w:ascii="Georgia" w:hAnsi="Georgia"/>
          <w:b/>
          <w:color w:val="062A3E"/>
        </w:rPr>
        <w:t>Keep the plan in regular conversation.</w:t>
      </w:r>
      <w:r>
        <w:rPr>
          <w:rFonts w:ascii="Georgia" w:hAnsi="Georgia"/>
          <w:color w:val="4A4A4A"/>
        </w:rPr>
        <w:t xml:space="preserve"> Confirm the tracking cadence and stand up a plan-focused, cross-collaboration forum so the plan is worked together on a consistent rhythm — not in separate lanes.</w:t>
      </w:r>
    </w:p>
    <w:p>
      <w:pPr>
        <w:pStyle w:val="ListBullet"/>
        <w:spacing w:after="80"/>
      </w:pPr>
      <w:r>
        <w:rPr>
          <w:rFonts w:ascii="Georgia" w:hAnsi="Georgia"/>
          <w:b/>
          <w:color w:val="062A3E"/>
        </w:rPr>
        <w:t>Gain clarity on metrics.</w:t>
      </w:r>
      <w:r>
        <w:rPr>
          <w:rFonts w:ascii="Georgia" w:hAnsi="Georgia"/>
          <w:color w:val="4A4A4A"/>
        </w:rPr>
        <w:t xml:space="preserve"> Resolve the open metric definitions — including served vs. educated and the revenue targets — so every goal is shared, measurable, and consistently reported.</w:t>
      </w:r>
    </w:p>
    <w:p>
      <w:pPr>
        <w:pStyle w:val="ListBullet"/>
        <w:spacing w:after="80"/>
      </w:pPr>
      <w:r>
        <w:rPr>
          <w:rFonts w:ascii="Georgia" w:hAnsi="Georgia"/>
          <w:b/>
          <w:color w:val="062A3E"/>
        </w:rPr>
        <w:t>Sharpen scope and what’s involved.</w:t>
      </w:r>
      <w:r>
        <w:rPr>
          <w:rFonts w:ascii="Georgia" w:hAnsi="Georgia"/>
          <w:color w:val="4A4A4A"/>
        </w:rPr>
        <w:t xml:space="preserve"> Work each priority through the same method modeled with the toolkit: what it actually means, what is in and out of scope, what it will take, and where it is complex.</w:t>
      </w:r>
    </w:p>
    <w:p>
      <w:pPr>
        <w:pStyle w:val="ListBullet"/>
        <w:spacing w:after="80"/>
      </w:pPr>
      <w:r>
        <w:rPr>
          <w:rFonts w:ascii="Georgia" w:hAnsi="Georgia"/>
          <w:b/>
          <w:color w:val="062A3E"/>
        </w:rPr>
        <w:t>Confirm timing and ownership.</w:t>
      </w:r>
      <w:r>
        <w:rPr>
          <w:rFonts w:ascii="Georgia" w:hAnsi="Georgia"/>
          <w:color w:val="4A4A4A"/>
        </w:rPr>
        <w:t xml:space="preserve"> Pressure-test the Year 1 versus Year 2 sequencing against real capacity, and confirm a clear owner for each priority.</w:t>
      </w:r>
    </w:p>
    <w:p>
      <w:pPr>
        <w:pStyle w:val="ListBullet"/>
        <w:spacing w:after="80"/>
      </w:pPr>
      <w:r>
        <w:rPr>
          <w:rFonts w:ascii="Georgia" w:hAnsi="Georgia"/>
          <w:b/>
          <w:color w:val="062A3E"/>
        </w:rPr>
        <w:t>Begin per-department homework.</w:t>
      </w:r>
      <w:r>
        <w:rPr>
          <w:rFonts w:ascii="Georgia" w:hAnsi="Georgia"/>
          <w:color w:val="4A4A4A"/>
        </w:rPr>
        <w:t xml:space="preserve"> Draft toolkit sections and align on served-vs-educated definitions for each area.</w:t>
      </w:r>
    </w:p>
    <w:p>
      <w:r>
        <w:rPr>
          <w:rFonts w:ascii="Georgia" w:hAnsi="Georgia"/>
          <w:color w:val="4A4A4A"/>
        </w:rPr>
        <w:t xml:space="preserve">Your individual </w:t>
      </w:r>
      <w:r>
        <w:rPr>
          <w:rFonts w:ascii="Georgia" w:hAnsi="Georgia"/>
          <w:b/>
          <w:color w:val="062A3E"/>
        </w:rPr>
        <w:t>Director Action Sheet</w:t>
      </w:r>
      <w:r>
        <w:rPr>
          <w:rFonts w:ascii="Georgia" w:hAnsi="Georgia"/>
          <w:color w:val="4A4A4A"/>
        </w:rPr>
        <w:t xml:space="preserve"> lists your specific commitments, owners, and timing; the full bundle (Project Plan, Toolkit documents, glossary template, risk register, and the methodology one-pager) travels with this report.</w:t>
      </w:r>
    </w:p>
    <w:p>
      <w:pPr>
        <w:spacing w:before="360" w:after="40"/>
      </w:pPr>
      <w:r>
        <w:rPr>
          <w:rFonts w:ascii="Georgia" w:hAnsi="Georgia"/>
          <w:b/>
          <w:color w:val="1A808E"/>
          <w:sz w:val="16"/>
          <w:spacing w:val="40"/>
        </w:rPr>
        <w:t>FROM RENITA</w:t>
      </w:r>
    </w:p>
    <w:p>
      <w:pPr>
        <w:spacing w:after="120"/>
      </w:pPr>
      <w:r>
        <w:rPr>
          <w:rFonts w:ascii="Georgia" w:hAnsi="Georgia"/>
          <w:color w:val="062A3E"/>
          <w:sz w:val="34"/>
        </w:rPr>
        <w:t>Closing</w:t>
      </w:r>
    </w:p>
    <w:p>
      <w:r>
        <w:rPr>
          <w:rFonts w:ascii="Georgia" w:hAnsi="Georgia"/>
          <w:color w:val="4A4A4A"/>
        </w:rPr>
        <w:t>This was demanding, honest work, and the team met it fully. You leave with a model, a method, a clear discipline for Year 1, and — most valuably — a shared, candid understanding of how you work together. That understanding is what will move this plan from paper into practice. I will continue to support the team in keeping the plan visible and the conversation going.</w:t>
      </w:r>
    </w:p>
    <w:p>
      <w:pPr>
        <w:spacing w:before="80"/>
      </w:pPr>
      <w:r>
        <w:rPr>
          <w:rFonts w:ascii="Georgia" w:hAnsi="Georgia"/>
          <w:i/>
          <w:color w:val="062A3E"/>
          <w:sz w:val="21"/>
        </w:rPr>
        <w:t>— Renita, Leap Forward Coaching &amp; Consulting</w:t>
      </w:r>
    </w:p>
    <w:sectPr w:rsidR="00FC693F" w:rsidRPr="0006063C" w:rsidSect="00034616">
      <w:footerReference w:type="default" r:id="rId9"/>
      <w:pgSz w:w="12240" w:h="15840"/>
      <w:pgMar w:top="72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360" w:val="right"/>
      </w:tabs>
    </w:pPr>
    <w:r/>
    <w:r>
      <w:rPr>
        <w:rFonts w:ascii="Georgia" w:hAnsi="Georgia"/>
        <w:color w:val="4A4A4A"/>
        <w:sz w:val="14"/>
      </w:rPr>
      <w:t>The Senior Source  –  “See &amp; Be Seen” 2026–2029  Strategic Planning  –  Leap Forward Coaching &amp; Consulting</w:t>
      <w:tab/>
    </w:r>
    <w:fldSimple w:instr="PAGE">
      <w:r>
        <w:rPr>
          <w:sz w:val="14"/>
        </w:rPr>
      </w:r>
    </w:fldSimple>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288" w:lineRule="auto" w:after="140"/>
    </w:pPr>
    <w:rPr>
      <w:rFonts w:ascii="Georgia" w:hAnsi="Georgia"/>
      <w:color w:val="4A4A4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